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A07B3" w:rsidRPr="00EA07B3" w:rsidRDefault="00EA07B3" w:rsidP="00EA07B3">
      <w:pPr>
        <w:spacing w:before="100" w:beforeAutospacing="1" w:after="100" w:afterAutospacing="1" w:line="240" w:lineRule="auto"/>
        <w:outlineLvl w:val="0"/>
        <w:rPr>
          <w:rFonts w:ascii="Times New Roman" w:eastAsia="Times New Roman" w:hAnsi="Times New Roman" w:cs="Times New Roman"/>
          <w:b/>
          <w:bCs/>
          <w:color w:val="003268"/>
          <w:kern w:val="36"/>
          <w:sz w:val="48"/>
          <w:szCs w:val="48"/>
          <w:lang w:val="es-ES" w:eastAsia="es-ES"/>
        </w:rPr>
      </w:pPr>
      <w:r w:rsidRPr="00EA07B3">
        <w:rPr>
          <w:rFonts w:ascii="Times New Roman" w:eastAsia="Times New Roman" w:hAnsi="Times New Roman" w:cs="Times New Roman"/>
          <w:b/>
          <w:bCs/>
          <w:color w:val="003268"/>
          <w:kern w:val="36"/>
          <w:sz w:val="48"/>
          <w:szCs w:val="48"/>
          <w:lang w:val="es-ES" w:eastAsia="es-ES"/>
        </w:rPr>
        <w:t>Escasez de agua y sequías</w:t>
      </w:r>
    </w:p>
    <w:p w:rsidR="00EA07B3" w:rsidRPr="00EA07B3" w:rsidRDefault="00EA07B3" w:rsidP="00EA07B3">
      <w:pPr>
        <w:spacing w:before="100" w:beforeAutospacing="1" w:after="100" w:afterAutospacing="1" w:line="240" w:lineRule="auto"/>
        <w:rPr>
          <w:rFonts w:ascii="Calibri" w:eastAsia="Times New Roman" w:hAnsi="Calibri" w:cs="Times New Roman"/>
          <w:color w:val="444444"/>
          <w:sz w:val="24"/>
          <w:szCs w:val="24"/>
          <w:lang w:val="es-ES" w:eastAsia="es-ES"/>
        </w:rPr>
      </w:pPr>
      <w:r w:rsidRPr="00EA07B3">
        <w:rPr>
          <w:rFonts w:ascii="Calibri" w:eastAsia="Times New Roman" w:hAnsi="Calibri" w:cs="Times New Roman"/>
          <w:color w:val="444444"/>
          <w:sz w:val="24"/>
          <w:szCs w:val="24"/>
          <w:lang w:val="es-ES" w:eastAsia="es-ES"/>
        </w:rPr>
        <w:t>La escasez de agua y la sequía son fenómenos diferentes, aunque están muy relacionados y pueden agravar el impacto de cada uno. La escasez de agua se produce donde no hay suficientes recursos hídricos disponibles para satisfacer las demandas de agua a medio-largo plazo. La sequía, por otra parte, se puede considerar como una disminución temporal de la disponibilidad de agua debido por ejemplo a la falta de precipitaciones. Las sequías pueden ocurrir en cualquier temporada y en cualquier parte del mundo, tanto en zonas con pocas precipitaciones, como la zona del Levante en España, pero también en zonas donde no existe un déficit hídrico estructural, como por ejemplo en Holanda.</w:t>
      </w:r>
    </w:p>
    <w:p w:rsidR="00EA07B3" w:rsidRPr="00EA07B3" w:rsidRDefault="00EA07B3" w:rsidP="00EA07B3">
      <w:pPr>
        <w:spacing w:before="100" w:beforeAutospacing="1" w:after="100" w:afterAutospacing="1" w:line="240" w:lineRule="auto"/>
        <w:outlineLvl w:val="2"/>
        <w:rPr>
          <w:rFonts w:ascii="Calibri" w:eastAsia="Times New Roman" w:hAnsi="Calibri" w:cs="Times New Roman"/>
          <w:b/>
          <w:bCs/>
          <w:color w:val="003268"/>
          <w:sz w:val="27"/>
          <w:szCs w:val="27"/>
          <w:lang w:val="es-ES" w:eastAsia="es-ES"/>
        </w:rPr>
      </w:pPr>
      <w:r w:rsidRPr="00EA07B3">
        <w:rPr>
          <w:rFonts w:ascii="Calibri" w:eastAsia="Times New Roman" w:hAnsi="Calibri" w:cs="Times New Roman"/>
          <w:b/>
          <w:bCs/>
          <w:color w:val="003268"/>
          <w:sz w:val="27"/>
          <w:szCs w:val="27"/>
          <w:lang w:val="es-ES" w:eastAsia="es-ES"/>
        </w:rPr>
        <w:t>El desafío</w:t>
      </w:r>
    </w:p>
    <w:p w:rsidR="00EA07B3" w:rsidRPr="00EA07B3" w:rsidRDefault="00EA07B3" w:rsidP="00EA07B3">
      <w:pPr>
        <w:spacing w:before="100" w:beforeAutospacing="1" w:after="100" w:afterAutospacing="1" w:line="240" w:lineRule="auto"/>
        <w:rPr>
          <w:rFonts w:ascii="Calibri" w:eastAsia="Times New Roman" w:hAnsi="Calibri" w:cs="Times New Roman"/>
          <w:color w:val="444444"/>
          <w:sz w:val="24"/>
          <w:szCs w:val="24"/>
          <w:lang w:val="es-ES" w:eastAsia="es-ES"/>
        </w:rPr>
      </w:pPr>
      <w:r w:rsidRPr="00EA07B3">
        <w:rPr>
          <w:rFonts w:ascii="Calibri" w:eastAsia="Times New Roman" w:hAnsi="Calibri" w:cs="Times New Roman"/>
          <w:color w:val="444444"/>
          <w:sz w:val="24"/>
          <w:szCs w:val="24"/>
          <w:lang w:val="es-ES" w:eastAsia="es-ES"/>
        </w:rPr>
        <w:t xml:space="preserve">En algunas regiones de España, la gravedad y la frecuencia de las sequías conducen a situaciones de escasez de agua, mientras que la sobreexplotación de los recursos hídricos disponibles agravan las consecuencias de las sequías. Por lo tanto, se debe prestar especial atención a las sinergias entre estos dos fenómenos, especialmente en las cuencas hidrográficas afectadas por la escasez de agua. En estas regiones, los planes hidrológicos y otros planes que influyen el dominio hidrológico </w:t>
      </w:r>
      <w:proofErr w:type="spellStart"/>
      <w:proofErr w:type="gramStart"/>
      <w:r w:rsidRPr="00EA07B3">
        <w:rPr>
          <w:rFonts w:ascii="Calibri" w:eastAsia="Times New Roman" w:hAnsi="Calibri" w:cs="Times New Roman"/>
          <w:color w:val="444444"/>
          <w:sz w:val="24"/>
          <w:szCs w:val="24"/>
          <w:lang w:val="es-ES" w:eastAsia="es-ES"/>
        </w:rPr>
        <w:t>y</w:t>
      </w:r>
      <w:proofErr w:type="spellEnd"/>
      <w:proofErr w:type="gramEnd"/>
      <w:r w:rsidRPr="00EA07B3">
        <w:rPr>
          <w:rFonts w:ascii="Calibri" w:eastAsia="Times New Roman" w:hAnsi="Calibri" w:cs="Times New Roman"/>
          <w:color w:val="444444"/>
          <w:sz w:val="24"/>
          <w:szCs w:val="24"/>
          <w:lang w:val="es-ES" w:eastAsia="es-ES"/>
        </w:rPr>
        <w:t xml:space="preserve"> hidráulico deben incluir un análisis adecuado de la escasez de agua y una extensa evaluación de las consecuencias de futuras sequías.</w:t>
      </w:r>
    </w:p>
    <w:p w:rsidR="00EA07B3" w:rsidRPr="00EA07B3" w:rsidRDefault="00EA07B3" w:rsidP="00EA07B3">
      <w:pPr>
        <w:spacing w:before="100" w:beforeAutospacing="1" w:after="100" w:afterAutospacing="1" w:line="240" w:lineRule="auto"/>
        <w:outlineLvl w:val="2"/>
        <w:rPr>
          <w:rFonts w:ascii="Calibri" w:eastAsia="Times New Roman" w:hAnsi="Calibri" w:cs="Times New Roman"/>
          <w:b/>
          <w:bCs/>
          <w:color w:val="003268"/>
          <w:sz w:val="27"/>
          <w:szCs w:val="27"/>
          <w:lang w:val="es-ES" w:eastAsia="es-ES"/>
        </w:rPr>
      </w:pPr>
      <w:r w:rsidRPr="00EA07B3">
        <w:rPr>
          <w:rFonts w:ascii="Calibri" w:eastAsia="Times New Roman" w:hAnsi="Calibri" w:cs="Times New Roman"/>
          <w:b/>
          <w:bCs/>
          <w:color w:val="003268"/>
          <w:sz w:val="27"/>
          <w:szCs w:val="27"/>
          <w:lang w:val="es-ES" w:eastAsia="es-ES"/>
        </w:rPr>
        <w:t>El enfoque</w:t>
      </w:r>
    </w:p>
    <w:p w:rsidR="00EA07B3" w:rsidRPr="00EA07B3" w:rsidRDefault="00EA07B3" w:rsidP="00EA07B3">
      <w:pPr>
        <w:spacing w:before="100" w:beforeAutospacing="1" w:after="100" w:afterAutospacing="1" w:line="240" w:lineRule="auto"/>
        <w:rPr>
          <w:rFonts w:ascii="Calibri" w:eastAsia="Times New Roman" w:hAnsi="Calibri" w:cs="Times New Roman"/>
          <w:color w:val="444444"/>
          <w:sz w:val="24"/>
          <w:szCs w:val="24"/>
          <w:lang w:val="es-ES" w:eastAsia="es-ES"/>
        </w:rPr>
      </w:pPr>
      <w:r w:rsidRPr="00EA07B3">
        <w:rPr>
          <w:rFonts w:ascii="Calibri" w:eastAsia="Times New Roman" w:hAnsi="Calibri" w:cs="Times New Roman"/>
          <w:color w:val="444444"/>
          <w:sz w:val="24"/>
          <w:szCs w:val="24"/>
          <w:lang w:val="es-ES" w:eastAsia="es-ES"/>
        </w:rPr>
        <w:t xml:space="preserve">¿Qué métodos de apoyo a las decisiones estratégicas se pueden emplear para llegar a un mejor equilibrio entre la demanda de agua y suministro de agua? Esta pregunta es relevante en muchas partes del mundo actualmente. </w:t>
      </w:r>
      <w:proofErr w:type="spellStart"/>
      <w:r w:rsidRPr="00EA07B3">
        <w:rPr>
          <w:rFonts w:ascii="Calibri" w:eastAsia="Times New Roman" w:hAnsi="Calibri" w:cs="Times New Roman"/>
          <w:color w:val="444444"/>
          <w:sz w:val="24"/>
          <w:szCs w:val="24"/>
          <w:lang w:val="es-ES" w:eastAsia="es-ES"/>
        </w:rPr>
        <w:t>FutureWater</w:t>
      </w:r>
      <w:proofErr w:type="spellEnd"/>
      <w:r w:rsidRPr="00EA07B3">
        <w:rPr>
          <w:rFonts w:ascii="Calibri" w:eastAsia="Times New Roman" w:hAnsi="Calibri" w:cs="Times New Roman"/>
          <w:color w:val="444444"/>
          <w:sz w:val="24"/>
          <w:szCs w:val="24"/>
          <w:lang w:val="es-ES" w:eastAsia="es-ES"/>
        </w:rPr>
        <w:t xml:space="preserve"> emplea varios modelos (por ejemplo WEAP, SWAP y SWAT) y adapta las herramientas a las necesidades de cada región y objetivo. Desarrolló por ejemplo el método FUTUREVIEW para evaluar los problemas de escasez de agua en la agricultura, mientras que para estudios a nivel de cuenca </w:t>
      </w:r>
      <w:proofErr w:type="spellStart"/>
      <w:r w:rsidRPr="00EA07B3">
        <w:rPr>
          <w:rFonts w:ascii="Calibri" w:eastAsia="Times New Roman" w:hAnsi="Calibri" w:cs="Times New Roman"/>
          <w:color w:val="444444"/>
          <w:sz w:val="24"/>
          <w:szCs w:val="24"/>
          <w:lang w:val="es-ES" w:eastAsia="es-ES"/>
        </w:rPr>
        <w:t>FutureWater</w:t>
      </w:r>
      <w:proofErr w:type="spellEnd"/>
      <w:r w:rsidRPr="00EA07B3">
        <w:rPr>
          <w:rFonts w:ascii="Calibri" w:eastAsia="Times New Roman" w:hAnsi="Calibri" w:cs="Times New Roman"/>
          <w:color w:val="444444"/>
          <w:sz w:val="24"/>
          <w:szCs w:val="24"/>
          <w:lang w:val="es-ES" w:eastAsia="es-ES"/>
        </w:rPr>
        <w:t xml:space="preserve"> emplea WEAP y SWAT para estudiar impactos y diferentes estrategias de gestión.</w:t>
      </w:r>
    </w:p>
    <w:p w:rsidR="00EA07B3" w:rsidRPr="00EA07B3" w:rsidRDefault="00EA07B3" w:rsidP="00EA07B3">
      <w:pPr>
        <w:spacing w:before="100" w:beforeAutospacing="1" w:after="100" w:afterAutospacing="1" w:line="240" w:lineRule="auto"/>
        <w:rPr>
          <w:rFonts w:ascii="Calibri" w:eastAsia="Times New Roman" w:hAnsi="Calibri" w:cs="Times New Roman"/>
          <w:color w:val="444444"/>
          <w:sz w:val="24"/>
          <w:szCs w:val="24"/>
          <w:lang w:val="es-ES" w:eastAsia="es-ES"/>
        </w:rPr>
      </w:pPr>
      <w:r w:rsidRPr="00EA07B3">
        <w:rPr>
          <w:rFonts w:ascii="Calibri" w:eastAsia="Times New Roman" w:hAnsi="Calibri" w:cs="Times New Roman"/>
          <w:color w:val="444444"/>
          <w:sz w:val="24"/>
          <w:szCs w:val="24"/>
          <w:lang w:val="es-ES" w:eastAsia="es-ES"/>
        </w:rPr>
        <w:t>Proyectos de ejemplo</w:t>
      </w:r>
    </w:p>
    <w:p w:rsidR="00EA07B3" w:rsidRPr="00EA07B3" w:rsidRDefault="00EA07B3" w:rsidP="00EA07B3">
      <w:pPr>
        <w:numPr>
          <w:ilvl w:val="0"/>
          <w:numId w:val="1"/>
        </w:numPr>
        <w:spacing w:before="100" w:beforeAutospacing="1" w:after="100" w:afterAutospacing="1" w:line="240" w:lineRule="auto"/>
        <w:ind w:left="360"/>
        <w:rPr>
          <w:rFonts w:ascii="Calibri" w:eastAsia="Times New Roman" w:hAnsi="Calibri" w:cs="Times New Roman"/>
          <w:color w:val="444444"/>
          <w:sz w:val="24"/>
          <w:szCs w:val="24"/>
          <w:lang w:val="es-ES" w:eastAsia="es-ES"/>
        </w:rPr>
      </w:pPr>
      <w:hyperlink r:id="rId5" w:tooltip="Sistema de Soporte para la Gestión de Sequías (GEISEQ)" w:history="1">
        <w:r w:rsidRPr="00EA07B3">
          <w:rPr>
            <w:rFonts w:ascii="Calibri" w:eastAsia="Times New Roman" w:hAnsi="Calibri" w:cs="Times New Roman"/>
            <w:color w:val="7A9724"/>
            <w:sz w:val="24"/>
            <w:szCs w:val="24"/>
            <w:u w:val="single"/>
            <w:lang w:val="es-ES" w:eastAsia="es-ES"/>
          </w:rPr>
          <w:t>Sistema de Soporte para la Gestión de Sequías (GEISEQ)</w:t>
        </w:r>
      </w:hyperlink>
      <w:r w:rsidRPr="00EA07B3">
        <w:rPr>
          <w:rFonts w:ascii="Calibri" w:eastAsia="Times New Roman" w:hAnsi="Calibri" w:cs="Times New Roman"/>
          <w:color w:val="444444"/>
          <w:sz w:val="24"/>
          <w:szCs w:val="24"/>
          <w:lang w:val="es-ES" w:eastAsia="es-ES"/>
        </w:rPr>
        <w:t> </w:t>
      </w:r>
      <w:hyperlink r:id="rId6" w:tooltip="The GEISEQ project: a toolbox for the surveillance and the efficient management of droughts" w:history="1">
        <w:r w:rsidRPr="00EA07B3">
          <w:rPr>
            <w:rFonts w:ascii="Calibri" w:eastAsia="Times New Roman" w:hAnsi="Calibri" w:cs="Times New Roman"/>
            <w:color w:val="7A9724"/>
            <w:sz w:val="24"/>
            <w:szCs w:val="24"/>
            <w:u w:val="single"/>
            <w:lang w:val="es-ES" w:eastAsia="es-ES"/>
          </w:rPr>
          <w:br/>
        </w:r>
      </w:hyperlink>
    </w:p>
    <w:p w:rsidR="00EA07B3" w:rsidRPr="00EA07B3" w:rsidRDefault="00EA07B3" w:rsidP="00EA07B3">
      <w:pPr>
        <w:numPr>
          <w:ilvl w:val="0"/>
          <w:numId w:val="1"/>
        </w:numPr>
        <w:spacing w:before="100" w:beforeAutospacing="1" w:after="100" w:afterAutospacing="1" w:line="240" w:lineRule="auto"/>
        <w:ind w:left="360"/>
        <w:rPr>
          <w:rFonts w:ascii="Calibri" w:eastAsia="Times New Roman" w:hAnsi="Calibri" w:cs="Times New Roman"/>
          <w:color w:val="444444"/>
          <w:sz w:val="24"/>
          <w:szCs w:val="24"/>
          <w:lang w:val="es-ES" w:eastAsia="es-ES"/>
        </w:rPr>
      </w:pPr>
      <w:hyperlink r:id="rId7" w:history="1">
        <w:r w:rsidRPr="00EA07B3">
          <w:rPr>
            <w:rFonts w:ascii="Calibri" w:eastAsia="Times New Roman" w:hAnsi="Calibri" w:cs="Times New Roman"/>
            <w:color w:val="7A9724"/>
            <w:sz w:val="24"/>
            <w:szCs w:val="24"/>
            <w:u w:val="single"/>
            <w:lang w:val="es-ES" w:eastAsia="es-ES"/>
          </w:rPr>
          <w:t xml:space="preserve">Evaluación de los </w:t>
        </w:r>
        <w:proofErr w:type="spellStart"/>
        <w:r w:rsidRPr="00EA07B3">
          <w:rPr>
            <w:rFonts w:ascii="Calibri" w:eastAsia="Times New Roman" w:hAnsi="Calibri" w:cs="Times New Roman"/>
            <w:color w:val="7A9724"/>
            <w:sz w:val="24"/>
            <w:szCs w:val="24"/>
            <w:u w:val="single"/>
            <w:lang w:val="es-ES" w:eastAsia="es-ES"/>
          </w:rPr>
          <w:t>requísitos</w:t>
        </w:r>
        <w:proofErr w:type="spellEnd"/>
        <w:r w:rsidRPr="00EA07B3">
          <w:rPr>
            <w:rFonts w:ascii="Calibri" w:eastAsia="Times New Roman" w:hAnsi="Calibri" w:cs="Times New Roman"/>
            <w:color w:val="7A9724"/>
            <w:sz w:val="24"/>
            <w:szCs w:val="24"/>
            <w:u w:val="single"/>
            <w:lang w:val="es-ES" w:eastAsia="es-ES"/>
          </w:rPr>
          <w:t xml:space="preserve"> de los futuros satélites de la ESA para la gestión del agua y el seguimiento de sequias, cuenca de estudio: </w:t>
        </w:r>
        <w:proofErr w:type="spellStart"/>
        <w:r w:rsidRPr="00EA07B3">
          <w:rPr>
            <w:rFonts w:ascii="Calibri" w:eastAsia="Times New Roman" w:hAnsi="Calibri" w:cs="Times New Roman"/>
            <w:color w:val="7A9724"/>
            <w:sz w:val="24"/>
            <w:szCs w:val="24"/>
            <w:u w:val="single"/>
            <w:lang w:val="es-ES" w:eastAsia="es-ES"/>
          </w:rPr>
          <w:t>Gualdalquivir</w:t>
        </w:r>
        <w:proofErr w:type="spellEnd"/>
        <w:r w:rsidRPr="00EA07B3">
          <w:rPr>
            <w:rFonts w:ascii="Calibri" w:eastAsia="Times New Roman" w:hAnsi="Calibri" w:cs="Times New Roman"/>
            <w:color w:val="7A9724"/>
            <w:sz w:val="24"/>
            <w:szCs w:val="24"/>
            <w:u w:val="single"/>
            <w:lang w:val="es-ES" w:eastAsia="es-ES"/>
          </w:rPr>
          <w:t>, España</w:t>
        </w:r>
      </w:hyperlink>
      <w:r w:rsidRPr="00EA07B3">
        <w:rPr>
          <w:rFonts w:ascii="Calibri" w:eastAsia="Times New Roman" w:hAnsi="Calibri" w:cs="Times New Roman"/>
          <w:color w:val="444444"/>
          <w:sz w:val="24"/>
          <w:szCs w:val="24"/>
          <w:lang w:val="es-ES" w:eastAsia="es-ES"/>
        </w:rPr>
        <w:t> </w:t>
      </w:r>
      <w:hyperlink r:id="rId8" w:history="1">
        <w:r w:rsidRPr="00EA07B3">
          <w:rPr>
            <w:rFonts w:ascii="Calibri" w:eastAsia="Times New Roman" w:hAnsi="Calibri" w:cs="Times New Roman"/>
            <w:color w:val="7A9724"/>
            <w:sz w:val="24"/>
            <w:szCs w:val="24"/>
            <w:u w:val="single"/>
            <w:lang w:val="es-ES" w:eastAsia="es-ES"/>
          </w:rPr>
          <w:t>[</w:t>
        </w:r>
        <w:proofErr w:type="spellStart"/>
        <w:r w:rsidRPr="00EA07B3">
          <w:rPr>
            <w:rFonts w:ascii="Calibri" w:eastAsia="Times New Roman" w:hAnsi="Calibri" w:cs="Times New Roman"/>
            <w:color w:val="7A9724"/>
            <w:sz w:val="24"/>
            <w:szCs w:val="24"/>
            <w:u w:val="single"/>
            <w:lang w:val="es-ES" w:eastAsia="es-ES"/>
          </w:rPr>
          <w:t>pdf</w:t>
        </w:r>
        <w:proofErr w:type="spellEnd"/>
        <w:r w:rsidRPr="00EA07B3">
          <w:rPr>
            <w:rFonts w:ascii="Calibri" w:eastAsia="Times New Roman" w:hAnsi="Calibri" w:cs="Times New Roman"/>
            <w:color w:val="7A9724"/>
            <w:sz w:val="24"/>
            <w:szCs w:val="24"/>
            <w:u w:val="single"/>
            <w:lang w:val="es-ES" w:eastAsia="es-ES"/>
          </w:rPr>
          <w:t>]</w:t>
        </w:r>
      </w:hyperlink>
    </w:p>
    <w:p w:rsidR="00EA07B3" w:rsidRPr="00EA07B3" w:rsidRDefault="00EA07B3" w:rsidP="00EA07B3">
      <w:pPr>
        <w:numPr>
          <w:ilvl w:val="0"/>
          <w:numId w:val="1"/>
        </w:numPr>
        <w:spacing w:before="100" w:beforeAutospacing="1" w:after="100" w:afterAutospacing="1" w:line="240" w:lineRule="auto"/>
        <w:ind w:left="360"/>
        <w:rPr>
          <w:rFonts w:ascii="Calibri" w:eastAsia="Times New Roman" w:hAnsi="Calibri" w:cs="Times New Roman"/>
          <w:color w:val="444444"/>
          <w:sz w:val="24"/>
          <w:szCs w:val="24"/>
          <w:lang w:val="es-ES" w:eastAsia="es-ES"/>
        </w:rPr>
      </w:pPr>
      <w:hyperlink r:id="rId9" w:history="1">
        <w:proofErr w:type="spellStart"/>
        <w:r w:rsidRPr="00EA07B3">
          <w:rPr>
            <w:rFonts w:ascii="Calibri" w:eastAsia="Times New Roman" w:hAnsi="Calibri" w:cs="Times New Roman"/>
            <w:color w:val="7A9724"/>
            <w:sz w:val="24"/>
            <w:szCs w:val="24"/>
            <w:u w:val="single"/>
            <w:lang w:val="es-ES" w:eastAsia="es-ES"/>
          </w:rPr>
          <w:t>infoSequia</w:t>
        </w:r>
        <w:proofErr w:type="spellEnd"/>
      </w:hyperlink>
    </w:p>
    <w:p w:rsidR="00441BD6" w:rsidRDefault="00441BD6">
      <w:bookmarkStart w:id="0" w:name="_GoBack"/>
      <w:bookmarkEnd w:id="0"/>
    </w:p>
    <w:sectPr w:rsidR="00441BD6">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37DA53B5"/>
    <w:multiLevelType w:val="multilevel"/>
    <w:tmpl w:val="09FECC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A07B3"/>
    <w:rsid w:val="00441BD6"/>
    <w:rsid w:val="00EA07B3"/>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25C8507-9057-43FD-9986-6ABB7B82C1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lang w:val="es-MX"/>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468428085">
      <w:bodyDiv w:val="1"/>
      <w:marLeft w:val="0"/>
      <w:marRight w:val="0"/>
      <w:marTop w:val="0"/>
      <w:marBottom w:val="0"/>
      <w:divBdr>
        <w:top w:val="none" w:sz="0" w:space="0" w:color="auto"/>
        <w:left w:val="none" w:sz="0" w:space="0" w:color="auto"/>
        <w:bottom w:val="none" w:sz="0" w:space="0" w:color="auto"/>
        <w:right w:val="none" w:sz="0" w:space="0" w:color="auto"/>
      </w:divBdr>
      <w:divsChild>
        <w:div w:id="170328119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futurewater.es/wp-content/uploads/2011/03/ESAWAT_Sequ%C3%ADa.pdf" TargetMode="External"/><Relationship Id="rId3" Type="http://schemas.openxmlformats.org/officeDocument/2006/relationships/settings" Target="settings.xml"/><Relationship Id="rId7" Type="http://schemas.openxmlformats.org/officeDocument/2006/relationships/hyperlink" Target="https://www.futurewater.nl/esawat"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futurewater.es/home/proyectos/geiseq-drought/" TargetMode="External"/><Relationship Id="rId11" Type="http://schemas.openxmlformats.org/officeDocument/2006/relationships/theme" Target="theme/theme1.xml"/><Relationship Id="rId5" Type="http://schemas.openxmlformats.org/officeDocument/2006/relationships/hyperlink" Target="http://www.futurewater.es/projects/geiseq-es/" TargetMode="Externa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infosequia.es/"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413</Words>
  <Characters>2275</Characters>
  <Application>Microsoft Office Word</Application>
  <DocSecurity>0</DocSecurity>
  <Lines>18</Lines>
  <Paragraphs>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2683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manuel</dc:creator>
  <cp:keywords/>
  <dc:description/>
  <cp:lastModifiedBy>manuel</cp:lastModifiedBy>
  <cp:revision>1</cp:revision>
  <dcterms:created xsi:type="dcterms:W3CDTF">2019-05-31T20:57:00Z</dcterms:created>
  <dcterms:modified xsi:type="dcterms:W3CDTF">2019-05-31T20:57:00Z</dcterms:modified>
</cp:coreProperties>
</file>